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/>
        </w:rPr>
        <w:t>1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吉林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市市</w:t>
      </w:r>
      <w:r>
        <w:rPr>
          <w:rFonts w:hint="eastAsia" w:ascii="宋体" w:hAnsi="宋体" w:cs="宋体"/>
          <w:b/>
          <w:bCs/>
          <w:sz w:val="44"/>
          <w:szCs w:val="44"/>
        </w:rPr>
        <w:t>级人力资源服务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产业园申报材料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XX人民政府（盖章）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  <w:lang w:val="e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883" w:firstLineChars="2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XX人民政府关于申报XX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人力资源服务产业园的函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申报函件行文类别：正式申请报告文件。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一、申报函件标题：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）区、开发区</w:t>
      </w:r>
      <w:r>
        <w:rPr>
          <w:rFonts w:hint="eastAsia" w:ascii="仿宋" w:hAnsi="仿宋" w:eastAsia="仿宋" w:cs="仿宋"/>
          <w:sz w:val="32"/>
          <w:szCs w:val="32"/>
        </w:rPr>
        <w:t>人民政府关于申报XX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级人力资源服务产业园的函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二、申报函件主送单位：</w:t>
      </w:r>
      <w:r>
        <w:rPr>
          <w:rFonts w:hint="eastAsia" w:ascii="仿宋" w:hAnsi="仿宋" w:eastAsia="仿宋" w:cs="仿宋"/>
          <w:sz w:val="32"/>
          <w:szCs w:val="32"/>
        </w:rPr>
        <w:t>吉林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三、申报函件正文内容：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（申报函件应至少由以下几大部分组成）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级产业园的原因。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2.产业园区现状、基本情况说明（应包含功能实现、建设思路、选址、规划面积等基本要素）。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3.已出台的支持产业园的政策措施。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4.基于以上正式提出申请。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四、签章，落款时间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五、经办人员及联系电话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  <w:lang w:val="e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吉林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级人力资源服务产业园申报表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填报园区（盖章）              填报日期：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tbl>
      <w:tblPr>
        <w:tblStyle w:val="8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561"/>
        <w:gridCol w:w="42"/>
        <w:gridCol w:w="1616"/>
        <w:gridCol w:w="85"/>
        <w:gridCol w:w="57"/>
        <w:gridCol w:w="1510"/>
        <w:gridCol w:w="1200"/>
        <w:gridCol w:w="21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园区名称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园区主管单位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" w:firstLineChars="1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联络人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联络电话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园区运营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主体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代表人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所在地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440"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已入驻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经营性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人力资源企业数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320" w:hanging="320" w:hangingChars="1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税收情况／年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已出台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产业园的政策措施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园区现有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级别情况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是否已为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县（市）区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级产业园  □是 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如有其它级别请列出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园区入驻企业业态分布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（可多选）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就业和创业指导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派遣 □外包 □培训  □招聘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猎头  □评测   □管理咨询   □软件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其他新兴领域业态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区人民政府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盖章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883" w:firstLineChars="200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关于建设XX人力资源服务产业园区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可行性论证报告和发展规划书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883" w:firstLineChars="20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可行性论证报告和建设发展规划书行文类别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正式申请报告文件。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关于建设XX人力资源服务产业园区可行性论证报告和发展规划书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三、发展规划书主送单位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吉林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四、可行性论证报告和发展规划书正文内容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1.产业园区基础条件：</w:t>
      </w:r>
      <w:r>
        <w:rPr>
          <w:rFonts w:hint="eastAsia" w:ascii="仿宋" w:hAnsi="仿宋" w:eastAsia="仿宋" w:cs="仿宋"/>
          <w:sz w:val="32"/>
          <w:szCs w:val="32"/>
        </w:rPr>
        <w:t>区位情况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经济发展情况、人才产业情况、主要已出台扶持政策基本情况。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2.设立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/>
          <w:sz w:val="32"/>
          <w:szCs w:val="32"/>
        </w:rPr>
        <w:t>级人力资源服务产业园区的意义：</w:t>
      </w:r>
      <w:r>
        <w:rPr>
          <w:rFonts w:hint="eastAsia" w:ascii="仿宋" w:hAnsi="仿宋" w:eastAsia="仿宋" w:cs="仿宋"/>
          <w:sz w:val="32"/>
          <w:szCs w:val="32"/>
        </w:rPr>
        <w:t>应围绕产业布局、服务业发展、人力资源市场建设、完善行政服务职能、发挥引领示范作用等方面进行论述。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3、发展规划目标：</w:t>
      </w:r>
      <w:r>
        <w:rPr>
          <w:rFonts w:hint="eastAsia" w:ascii="仿宋" w:hAnsi="仿宋" w:eastAsia="仿宋" w:cs="仿宋"/>
          <w:sz w:val="32"/>
          <w:szCs w:val="32"/>
        </w:rPr>
        <w:t>园区建设方针、建设目标、发展项目及创新等。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4.承诺事项。</w:t>
      </w:r>
      <w:r>
        <w:rPr>
          <w:rFonts w:hint="eastAsia" w:ascii="仿宋" w:hAnsi="仿宋" w:eastAsia="仿宋" w:cs="仿宋"/>
          <w:sz w:val="32"/>
          <w:szCs w:val="32"/>
        </w:rPr>
        <w:t>预计营业额、预计税收、入园企业业态发展等相关承诺。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五、经办人员及联系电话。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六、单位签章，落款时间。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已出台的扶持人力资源服务产业园发展政策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（复印件粘贴处）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产业园区已入驻或已签入驻协议企业名录</w:t>
      </w:r>
    </w:p>
    <w:tbl>
      <w:tblPr>
        <w:tblStyle w:val="9"/>
        <w:tblW w:w="8895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95"/>
        <w:gridCol w:w="2235"/>
        <w:gridCol w:w="18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入驻企业名称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主要经营业态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应税总额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入驻方式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真实性声明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本园区对申报吉林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市市</w:t>
      </w:r>
      <w:r>
        <w:rPr>
          <w:rFonts w:hint="eastAsia" w:ascii="仿宋" w:hAnsi="仿宋" w:eastAsia="仿宋" w:cs="仿宋"/>
          <w:sz w:val="32"/>
          <w:szCs w:val="32"/>
        </w:rPr>
        <w:t>级人力资源服务产业园所提供的所有申报材料及相关附件的真实性、完整性和准确性负责。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2100" w:leftChars="10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2100" w:leftChars="10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Mono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mQ4M2JlNWM4ZDc1NDJkYWUyMjNkZDljNjMyYTg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76A3044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标题2"/>
    <w:basedOn w:val="1"/>
    <w:qFormat/>
    <w:uiPriority w:val="99"/>
    <w:pPr>
      <w:spacing w:line="600" w:lineRule="exact"/>
      <w:jc w:val="center"/>
    </w:pPr>
    <w:rPr>
      <w:rFonts w:ascii="方正小标宋简体" w:hAnsi="Times New Roman" w:eastAsia="方正小标宋简体" w:cs="Times New Roman"/>
      <w:color w:val="000000"/>
      <w:sz w:val="44"/>
      <w:szCs w:val="44"/>
      <w:lang w:val="zh-CN"/>
    </w:rPr>
  </w:style>
  <w:style w:type="paragraph" w:customStyle="1" w:styleId="21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3533</Words>
  <Characters>3557</Characters>
  <Lines>22</Lines>
  <Paragraphs>6</Paragraphs>
  <TotalTime>7</TotalTime>
  <ScaleCrop>false</ScaleCrop>
  <LinksUpToDate>false</LinksUpToDate>
  <CharactersWithSpaces>3920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2018-12-03T17:47:00Z</dcterms:created>
  <dc:creator>jljyj044</dc:creator>
  <cp:lastModifiedBy>inspur</cp:lastModifiedBy>
  <cp:lastPrinted>2024-09-03T10:39:00Z</cp:lastPrinted>
  <dcterms:modified xsi:type="dcterms:W3CDTF">2024-10-09T09:33:01Z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EACA541E0FB241FE85561F7718A9563E</vt:lpwstr>
  </property>
</Properties>
</file>