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B3" w:rsidRPr="00AA6D88" w:rsidRDefault="00DB063E" w:rsidP="00AA6D88">
      <w:pPr>
        <w:wordWrap w:val="0"/>
        <w:spacing w:line="578" w:lineRule="exact"/>
        <w:ind w:rightChars="134" w:right="281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75AB3" w:rsidRDefault="00D75AB3">
      <w:pPr>
        <w:spacing w:line="578" w:lineRule="exact"/>
        <w:rPr>
          <w:rFonts w:ascii="黑体" w:eastAsia="黑体" w:hAnsi="黑体"/>
          <w:sz w:val="32"/>
          <w:szCs w:val="32"/>
        </w:rPr>
      </w:pPr>
    </w:p>
    <w:p w:rsidR="00D75AB3" w:rsidRDefault="00DB063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吉林市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新型研发机构认定管理办法</w:t>
      </w:r>
    </w:p>
    <w:p w:rsidR="00D75AB3" w:rsidRDefault="00D75AB3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第一章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总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则</w:t>
      </w:r>
    </w:p>
    <w:p w:rsidR="00D75AB3" w:rsidRDefault="00D75AB3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为贯彻落实《关于促进新型研发机构发展的指导意见》（国科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发政〔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313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加快新型研发机构发展实施办法》（吉政发〔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、《吉林省新型研发机构认定管理办法》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（吉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56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号）文件要求，加强我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新型研发机构建设，规范新型研发机构管理，推进产学研用合作和科技成果转移转化，促进新型研发机构健康发展，结合我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实际，制定本办法。</w:t>
      </w:r>
    </w:p>
    <w:p w:rsidR="00D75AB3" w:rsidRDefault="00DB063E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本办法所称新型研发机构是指围绕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吉林市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重大科技创新需求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采用多元化投资、企业化管理和市场化运作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主要从事科学研究与技术开发及相关技术转移、衍生孵化、技术服务等活动的独立法人机构。</w:t>
      </w:r>
    </w:p>
    <w:p w:rsidR="00D75AB3" w:rsidRDefault="00DB063E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新型研发机构应具备现代化的高效治理模式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完善的议事机制、决策机制及监督机制，根据国家法律、法规和出资者的约定，实行章程管理。新型研发机构发展应遵循创新机制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企业运作、突出特色和服务产业的原则。</w:t>
      </w:r>
    </w:p>
    <w:p w:rsidR="00D75AB3" w:rsidRDefault="00DB063E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吉林市科学技术局（以下简称市科技局）</w:t>
      </w:r>
      <w:r>
        <w:rPr>
          <w:rFonts w:ascii="Times New Roman" w:eastAsia="仿宋_GB2312" w:hAnsi="Times New Roman" w:cs="Times New Roman"/>
          <w:sz w:val="32"/>
          <w:szCs w:val="32"/>
        </w:rPr>
        <w:t>负责组织开展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吉林市</w:t>
      </w:r>
      <w:r>
        <w:rPr>
          <w:rFonts w:ascii="Times New Roman" w:eastAsia="仿宋_GB2312" w:hAnsi="Times New Roman" w:cs="Times New Roman"/>
          <w:sz w:val="32"/>
          <w:szCs w:val="32"/>
        </w:rPr>
        <w:t>新型研发机构的申报、认定、管理和绩效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评估</w:t>
      </w:r>
      <w:r>
        <w:rPr>
          <w:rFonts w:ascii="Times New Roman" w:eastAsia="仿宋_GB2312" w:hAnsi="Times New Roman" w:cs="Times New Roman"/>
          <w:sz w:val="32"/>
          <w:szCs w:val="32"/>
        </w:rPr>
        <w:t>等工作。</w:t>
      </w:r>
    </w:p>
    <w:p w:rsidR="00D75AB3" w:rsidRDefault="00DB063E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各县（</w:t>
      </w:r>
      <w:r>
        <w:rPr>
          <w:rFonts w:ascii="Times New Roman" w:eastAsia="仿宋_GB2312" w:hAnsi="Times New Roman" w:cs="Times New Roman"/>
          <w:sz w:val="32"/>
          <w:szCs w:val="32"/>
        </w:rPr>
        <w:t>市）区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、开发区</w:t>
      </w:r>
      <w:r>
        <w:rPr>
          <w:rFonts w:ascii="Times New Roman" w:eastAsia="仿宋_GB2312" w:hAnsi="Times New Roman" w:cs="Times New Roman"/>
          <w:sz w:val="32"/>
          <w:szCs w:val="32"/>
        </w:rPr>
        <w:t>科技管理部门负责辖区内新型研发机构的培育、建设和日常管理工作。</w:t>
      </w:r>
    </w:p>
    <w:p w:rsidR="00D75AB3" w:rsidRDefault="00D75AB3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第二章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认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定</w:t>
      </w:r>
    </w:p>
    <w:p w:rsidR="00D75AB3" w:rsidRDefault="00D75AB3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新型研发机构须符合以下条件：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注册的独立法人机构，</w:t>
      </w:r>
      <w:r>
        <w:rPr>
          <w:rFonts w:ascii="仿宋_GB2312" w:eastAsia="仿宋_GB2312" w:hAnsi="仿宋_GB2312" w:cs="仿宋_GB2312" w:hint="eastAsia"/>
          <w:sz w:val="32"/>
          <w:szCs w:val="32"/>
        </w:rPr>
        <w:t>稳定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年以上，内控制度健全完善。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以技术研发与服务为核心功能，主要开展基础研究、应用基础研究，产业共性关键技术研发、科技成果转移转化、创业孵化育成，以及研发服务等，研究成果以技术许可和转让方式等予以转化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依托国内</w:t>
      </w:r>
      <w:r>
        <w:rPr>
          <w:rFonts w:ascii="仿宋_GB2312" w:eastAsia="仿宋_GB2312" w:hAnsi="仿宋_GB2312" w:cs="仿宋_GB2312" w:hint="eastAsia"/>
          <w:sz w:val="32"/>
          <w:szCs w:val="32"/>
        </w:rPr>
        <w:t>外</w:t>
      </w:r>
      <w:r>
        <w:rPr>
          <w:rFonts w:ascii="仿宋_GB2312" w:eastAsia="仿宋_GB2312" w:hAnsi="仿宋_GB2312" w:cs="仿宋_GB2312" w:hint="eastAsia"/>
          <w:sz w:val="32"/>
          <w:szCs w:val="32"/>
        </w:rPr>
        <w:t>科研院所、高校和行业龙头企业科研平台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研发经费来源和研发经费投入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；拥有开展研发、试验、服务等所必需的条件和设施；具有相对稳定的收入来源，主要包括出资方投入，技术开发、技术转让、技术服务、技术咨询收入，政府购买服务收入以及承接科研项目获得的经费等。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（四）具有研发能力较强的人才团队，</w:t>
      </w:r>
      <w:r>
        <w:rPr>
          <w:rFonts w:ascii="仿宋_GB2312" w:eastAsia="仿宋_GB2312" w:hAnsi="仿宋_GB2312" w:cs="仿宋_GB2312" w:hint="eastAsia"/>
          <w:sz w:val="32"/>
          <w:szCs w:val="32"/>
        </w:rPr>
        <w:t>专兼职</w:t>
      </w:r>
      <w:r>
        <w:rPr>
          <w:rFonts w:ascii="仿宋_GB2312" w:eastAsia="仿宋_GB2312" w:hAnsi="仿宋_GB2312" w:cs="仿宋_GB2312" w:hint="eastAsia"/>
          <w:sz w:val="32"/>
          <w:szCs w:val="32"/>
        </w:rPr>
        <w:t>研发人员占职工总人数比例不低于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，其中硕士或中高级职称以上研发人员应占研发人员总数的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（五）具有灵活开放的体制机制，包括健全的管理制度、高效的运行机制和灵活的人事制度等。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新型研发机构申报及认定程序：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（一）发布通知。市科技局发布组织申报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，申请单位填写《吉林市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县（市）区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科技管理部门对辖区内拟申报单位的基本条件、材料的真实性和规范性进行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初</w:t>
      </w:r>
      <w:r>
        <w:rPr>
          <w:rFonts w:ascii="仿宋_GB2312" w:eastAsia="仿宋_GB2312" w:hAnsi="仿宋_GB2312" w:cs="仿宋_GB2312" w:hint="eastAsia"/>
          <w:sz w:val="32"/>
          <w:szCs w:val="32"/>
        </w:rPr>
        <w:t>审，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并提出推荐意见，汇总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报送市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对申报材料进行复核，符合申报条件的进入评审论证环节。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（四）评审论证。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组织专家对申报材料进行评审，并结合实地考察提出评审意见。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公示。根据专家评审论证意见，业务主管处室提出拟认定名单，报经</w:t>
      </w:r>
      <w:r>
        <w:rPr>
          <w:rFonts w:ascii="仿宋_GB2312" w:eastAsia="仿宋_GB2312" w:hAnsi="仿宋_GB2312" w:cs="仿宋_GB2312" w:hint="eastAsia"/>
          <w:sz w:val="32"/>
          <w:szCs w:val="32"/>
        </w:rPr>
        <w:t>局党组</w:t>
      </w:r>
      <w:r>
        <w:rPr>
          <w:rFonts w:ascii="仿宋_GB2312" w:eastAsia="仿宋_GB2312" w:hAnsi="仿宋_GB2312" w:cs="仿宋_GB2312" w:hint="eastAsia"/>
          <w:sz w:val="32"/>
          <w:szCs w:val="32"/>
        </w:rPr>
        <w:t>会审议后，在网上进行公示，公示五个工作日无异议后向社会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布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新型研发机构的单位须提供以下材料：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新型研发机构申请表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（二）管理制度材料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．机构章程；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．管理制度；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．合作协议（合作共建单位须提供）。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（三）运营情况材料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．上一年度财务报表；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．最近一个年度工作报告。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（四）研发情况材料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．上一个会计年度研究开发费用情况表；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．成立以来立项的国家、省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级科研项目清单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，及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取得的成效；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．成立以来科技成果转化项目清单和孵化育成科技型企业清单；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研发人员基本情况表，科研场地、研发设备基本情况表。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（五）相关证明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材料。包括法人证明材料、学历职称证明材料、取得的成效证明材料等。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政府重点扶持和产业发展急需的新型研发机构，可单独组织论证，采取“一事一议”的方式进行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5AB3" w:rsidRDefault="00D75AB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75AB3" w:rsidRDefault="00DB063E">
      <w:pPr>
        <w:numPr>
          <w:ilvl w:val="0"/>
          <w:numId w:val="1"/>
        </w:num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管理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与绩效评估</w:t>
      </w:r>
    </w:p>
    <w:p w:rsidR="00D75AB3" w:rsidRDefault="00D75AB3">
      <w:pPr>
        <w:spacing w:line="578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新型研发机构应全面加强党的建设。根据《中国共产党章程》规定，设立党的组织，充分发挥党组织在新型研发机构中的战斗堡垒作用，强化政治引领，切实保证党的领导贯彻落实到位。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对新型研发机构实行动态管理。通过认定的新型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研发机构，自颁发资格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之日</w:t>
      </w:r>
      <w:r>
        <w:rPr>
          <w:rFonts w:ascii="仿宋_GB2312" w:eastAsia="仿宋_GB2312" w:hAnsi="仿宋_GB2312" w:cs="仿宋_GB2312" w:hint="eastAsia"/>
          <w:sz w:val="32"/>
          <w:szCs w:val="32"/>
        </w:rPr>
        <w:t>起有效期为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年资格期满前，市科技局组织对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的新型研发机构进行绩效评估，评估通过的继续获得新型研发机构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资格；不参加评估或评估未通过的，资格到期自动失效。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新型研发机构实行年度报告制度，年度报告作为绩效评估的重要内容。新型研发机构应在每年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日前撰写并向市科技局提交上年度工作总结报告。新型研发机构如发生名称变更、投资主体变更、重大人事变动等重大事项，应在事后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个月内以书面形式向市科技局报告，进行资格核实后，维持有效期不变。如不提出申请或资格核实未通过的，取消其新型研发机构资格。</w:t>
      </w:r>
    </w:p>
    <w:p w:rsidR="00D75AB3" w:rsidRDefault="00DB063E">
      <w:pPr>
        <w:spacing w:line="578" w:lineRule="exact"/>
        <w:ind w:firstLine="6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事业单位、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科技类民办非企业单位（社会服务机构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）性质的新型研发机构应依法进行登记管理，运营所得利润主要用于机构管理运行、建设发展和研发创新等，出资方不得分红。</w:t>
      </w:r>
    </w:p>
    <w:p w:rsidR="00D75AB3" w:rsidRDefault="00DB063E">
      <w:pPr>
        <w:spacing w:line="578" w:lineRule="exact"/>
        <w:ind w:firstLine="61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企业类新型研发机构应按照《中华人民共和国公司登记管理条例》进行登记管理。鼓励企业类新型研发机构运营所得利润不进行分红。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建立新型研发机构监督问责机制。对发生违反科技计划、资金等管理规定，违背科研伦理、学风作风、科研诚信等行为的新型研发机构，依法依规予以问责处理。</w:t>
      </w:r>
    </w:p>
    <w:p w:rsidR="00D75AB3" w:rsidRDefault="00D75AB3">
      <w:pPr>
        <w:spacing w:line="578" w:lineRule="exact"/>
        <w:jc w:val="center"/>
        <w:rPr>
          <w:rFonts w:ascii="Times New Roman" w:eastAsia="楷体_GB2312" w:hAnsi="Times New Roman" w:cs="Times New Roman"/>
          <w:color w:val="0000FF"/>
          <w:sz w:val="32"/>
          <w:szCs w:val="32"/>
        </w:rPr>
      </w:pPr>
    </w:p>
    <w:p w:rsidR="00D75AB3" w:rsidRDefault="00DB063E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第四章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扶持措施</w:t>
      </w:r>
    </w:p>
    <w:p w:rsidR="00D75AB3" w:rsidRDefault="00D75AB3">
      <w:pPr>
        <w:spacing w:line="578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新型研发机构，根据评估绩效择优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推荐申报省级新型研发机构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75AB3" w:rsidRDefault="00DB063E">
      <w:pPr>
        <w:spacing w:line="578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在承担市级科技计划项目、科技创新平台建设、重大科研设施和大型科研仪器开放共享、激励科技人员开展科技成果转化、开展职称评审等方面，给予新型研发机构与科研院所、高等学校同等的待遇。</w:t>
      </w:r>
    </w:p>
    <w:p w:rsidR="00D75AB3" w:rsidRDefault="00DB063E">
      <w:pPr>
        <w:spacing w:line="578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企业类新型研发机构，依照国家规定享受研究开发费用税前加计扣除政策，申请高新技术企业认定并享受相应税收优惠。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事业单位、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科技类民办非企业单位（社会服务机构）性质的新型研发机构，按照《中华人民共和国企业所得税法》以及非营利组织企业所得税、职务科技成果转化个人所得税、科技创新进口税等规定，享受税收优惠。</w:t>
      </w:r>
    </w:p>
    <w:p w:rsidR="00D75AB3" w:rsidRDefault="00D75AB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第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五</w:t>
      </w:r>
      <w:r>
        <w:rPr>
          <w:rFonts w:ascii="Times New Roman" w:eastAsia="楷体_GB2312" w:hAnsi="Times New Roman" w:cs="Times New Roman"/>
          <w:sz w:val="32"/>
          <w:szCs w:val="32"/>
        </w:rPr>
        <w:t>章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附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则</w:t>
      </w:r>
    </w:p>
    <w:p w:rsidR="00D75AB3" w:rsidRDefault="00D75AB3">
      <w:pPr>
        <w:spacing w:line="578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本办法由</w:t>
      </w:r>
      <w:r>
        <w:rPr>
          <w:rFonts w:ascii="仿宋_GB2312" w:eastAsia="仿宋_GB2312" w:hAnsi="仿宋_GB2312" w:cs="仿宋_GB2312" w:hint="eastAsia"/>
          <w:sz w:val="32"/>
          <w:szCs w:val="32"/>
        </w:rPr>
        <w:t>市科技局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负责解释。</w:t>
      </w:r>
    </w:p>
    <w:p w:rsidR="00D75AB3" w:rsidRDefault="00DB063E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日起施行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，有效期至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</w:t>
      </w:r>
    </w:p>
    <w:p w:rsidR="00D75AB3" w:rsidRDefault="00D75AB3" w:rsidP="00AA6D88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75AB3" w:rsidSect="00D75AB3">
      <w:headerReference w:type="default" r:id="rId8"/>
      <w:footerReference w:type="default" r:id="rId9"/>
      <w:pgSz w:w="11906" w:h="16838"/>
      <w:pgMar w:top="2098" w:right="1474" w:bottom="1984" w:left="1587" w:header="851" w:footer="1276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3E" w:rsidRDefault="00DB063E" w:rsidP="00D75AB3">
      <w:r>
        <w:separator/>
      </w:r>
    </w:p>
  </w:endnote>
  <w:endnote w:type="continuationSeparator" w:id="1">
    <w:p w:rsidR="00DB063E" w:rsidRDefault="00DB063E" w:rsidP="00D7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B3" w:rsidRDefault="00D75AB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 filled="f" stroked="f">
          <v:textbox style="mso-fit-shape-to-text:t" inset="0,0,0,0">
            <w:txbxContent>
              <w:p w:rsidR="00D75AB3" w:rsidRDefault="00DB063E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 w:rsidR="00D75AB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D75AB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AA6D8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5</w:t>
                </w:r>
                <w:r w:rsidR="00D75AB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3E" w:rsidRDefault="00DB063E" w:rsidP="00D75AB3">
      <w:r>
        <w:separator/>
      </w:r>
    </w:p>
  </w:footnote>
  <w:footnote w:type="continuationSeparator" w:id="1">
    <w:p w:rsidR="00DB063E" w:rsidRDefault="00DB063E" w:rsidP="00D75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B3" w:rsidRDefault="00D75AB3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3FB2"/>
    <w:multiLevelType w:val="singleLevel"/>
    <w:tmpl w:val="4F963FB2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AB3"/>
    <w:rsid w:val="E1F4085F"/>
    <w:rsid w:val="EDC99894"/>
    <w:rsid w:val="EF773D49"/>
    <w:rsid w:val="EFF9E0FA"/>
    <w:rsid w:val="FFDECFCA"/>
    <w:rsid w:val="FFED2A30"/>
    <w:rsid w:val="00AA6D88"/>
    <w:rsid w:val="00D75AB3"/>
    <w:rsid w:val="00DB063E"/>
    <w:rsid w:val="2F9FC150"/>
    <w:rsid w:val="34E709AA"/>
    <w:rsid w:val="3CED5AE8"/>
    <w:rsid w:val="3DFF62C2"/>
    <w:rsid w:val="4CD461D9"/>
    <w:rsid w:val="4DD3003C"/>
    <w:rsid w:val="57EE5C9B"/>
    <w:rsid w:val="6CF99D7C"/>
    <w:rsid w:val="75FF8599"/>
    <w:rsid w:val="937F101E"/>
    <w:rsid w:val="AF7A978A"/>
    <w:rsid w:val="BFF7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B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5AB3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D7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rsid w:val="00D75A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D75AB3"/>
    <w:rPr>
      <w:b/>
      <w:bCs/>
    </w:rPr>
  </w:style>
  <w:style w:type="paragraph" w:customStyle="1" w:styleId="1">
    <w:name w:val="列出段落1"/>
    <w:basedOn w:val="a"/>
    <w:uiPriority w:val="34"/>
    <w:qFormat/>
    <w:rsid w:val="00D75AB3"/>
    <w:pPr>
      <w:ind w:firstLineChars="200" w:firstLine="420"/>
    </w:pPr>
    <w:rPr>
      <w:rFonts w:ascii="Times New Roman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D75A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5AB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D75AB3"/>
  </w:style>
  <w:style w:type="character" w:customStyle="1" w:styleId="Char">
    <w:name w:val="批注框文本 Char"/>
    <w:basedOn w:val="a0"/>
    <w:link w:val="a3"/>
    <w:uiPriority w:val="99"/>
    <w:semiHidden/>
    <w:qFormat/>
    <w:rsid w:val="00D75A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吉科发政〔2019〕356号</dc:title>
  <dc:creator>dell</dc:creator>
  <cp:lastModifiedBy>Micorosoft</cp:lastModifiedBy>
  <cp:revision>2</cp:revision>
  <cp:lastPrinted>2024-07-19T17:12:00Z</cp:lastPrinted>
  <dcterms:created xsi:type="dcterms:W3CDTF">2024-09-04T01:17:00Z</dcterms:created>
  <dcterms:modified xsi:type="dcterms:W3CDTF">2024-09-04T01:17:00Z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